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>
        <w:tc>
          <w:tcPr>
            <w:tcW w:type="dxa" w:w="62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23C46"/>
                <w:sz w:val="26"/>
                <w:szCs w:val="26"/>
              </w:rPr>
              <w:t xml:space="preserve">[FACILITY NAME]</w:t>
            </w:r>
          </w:p>
          <w:p>
            <w:r>
              <w:rPr>
                <w:rFonts w:ascii="Arial" w:cs="Arial" w:eastAsia="Arial" w:hAnsi="Arial"/>
                <w:color w:val="5E7276"/>
                <w:sz w:val="18"/>
                <w:szCs w:val="18"/>
              </w:rPr>
              <w:t xml:space="preserve">Quality Improvement Department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Doc No.: [QI-AUD-___]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Revision: [00]    Date: [____/____/______]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Page [__] of [__]</w:t>
            </w:r>
          </w:p>
        </w:tc>
      </w:tr>
    </w:tbl>
    <w:p>
      <w:pPr>
        <w:spacing w:after="60" w:before="240"/>
        <w:jc w:val="center"/>
      </w:pPr>
      <w:r>
        <w:rPr>
          <w:rFonts w:ascii="Arial" w:cs="Arial" w:eastAsia="Arial" w:hAnsi="Arial"/>
          <w:b/>
          <w:bCs/>
          <w:color w:val="123C46"/>
          <w:sz w:val="30"/>
          <w:szCs w:val="30"/>
        </w:rPr>
        <w:t xml:space="preserve">INTERNAL AUDIT CHECKLIST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E7276"/>
          <w:sz w:val="17"/>
          <w:szCs w:val="17"/>
        </w:rPr>
        <w:t xml:space="preserve">One checklist per audit. Score each criterion, then complete the summary. C = compliant · PC = partially compliant · NC = non-compliant · NA = not applicable.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AUDIT DETAILS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Audit title / topic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Department / area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Audit date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Auditor(s)</w:t>
            </w:r>
          </w:p>
        </w:tc>
      </w:tr>
      <w:tr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70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Standard / policy audited against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Sample size / method</w:t>
            </w:r>
          </w:p>
        </w:tc>
      </w:tr>
      <w:tr>
        <w:tc>
          <w:tcPr>
            <w:tcW w:type="dxa" w:w="70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CHECKLIST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4340"/>
        <w:gridCol w:w="600"/>
        <w:gridCol w:w="600"/>
        <w:gridCol w:w="600"/>
        <w:gridCol w:w="600"/>
        <w:gridCol w:w="2200"/>
      </w:tblGrid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Audit criterion (what must be in place)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PC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NC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NA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Comments / evidence seen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[Example — replace] Policy is current, approved, and available to staff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2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3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4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5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6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7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8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9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10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11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12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13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14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15</w:t>
            </w:r>
          </w:p>
        </w:tc>
        <w:tc>
          <w:tcPr>
            <w:tcW w:type="dxa" w:w="4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6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</w:t>
            </w:r>
          </w:p>
        </w:tc>
        <w:tc>
          <w:tcPr>
            <w:tcW w:type="dxa" w:w="22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SUMMARY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Totals:    C: [____]      PC: [____]      NC: [____]      NA: [____]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Compliance rate:  [______ %]        (C ÷ (C + PC + NC), or use your facility's formula)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Findings requiring a CAP: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List each NC (and repeated PC) with the CAP number opened for it. Every NC needs an owner and a deadline — that's what turns an audit into improvement.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Auditor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Department head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Quality Officer</w:t>
            </w:r>
          </w:p>
        </w:tc>
      </w:tr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240"/>
      </w:pPr>
      <w:r>
        <w:rPr>
          <w:rFonts w:ascii="Arial" w:cs="Arial" w:eastAsia="Arial" w:hAnsi="Arial"/>
          <w:i/>
          <w:iCs/>
          <w:color w:val="5E7276"/>
          <w:sz w:val="15"/>
          <w:szCs w:val="15"/>
        </w:rPr>
        <w:t xml:space="preserve">Template QT-AUD-002 · The QIO Toolkit · Free for professional use. Replace bracketed fields, apply your facility's document control, and route through your approval process before use.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2026-07-04T09:04:20.868Z</dcterms:created>
  <dcterms:modified xsi:type="dcterms:W3CDTF">2026-07-04T09:04:20.869Z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